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bd9b5b4c3ba118524a95ff25d8c321acd6039d"/>
    <w:p>
      <w:pPr>
        <w:pStyle w:val="Heading3"/>
      </w:pPr>
      <w:r>
        <w:t xml:space="preserve">Пять работ получили гран-при конкурса «Драйверы развития современного города»</w:t>
      </w:r>
    </w:p>
    <w:p>
      <w:pPr>
        <w:pStyle w:val="FirstParagraph"/>
      </w:pPr>
      <w:r>
        <w:t xml:space="preserve">30.10.2023</w:t>
      </w:r>
    </w:p>
    <w:p>
      <w:pPr>
        <w:pStyle w:val="BodyText"/>
      </w:pPr>
      <w:r>
        <w:rPr>
          <w:bCs/>
          <w:b/>
        </w:rPr>
        <w:t xml:space="preserve">В Москве состоялось награждение победителей VII Всероссийского конкурса «Драйверы развития современного города», сообщил руководитель Департамента градостроительной политики Москвы Сергей Лёвкин.</w:t>
      </w:r>
    </w:p>
    <w:p>
      <w:pPr>
        <w:pStyle w:val="BodyText"/>
      </w:pPr>
      <w:r>
        <w:t xml:space="preserve">«Участники представили 657 работ, из которых 211 стали победителями. Всего в конкурсе приняли участие 88 профильных вуза из 43 городов России и стран СНГ: Екатеринбурга, Владивостока, Новосибирска, Москвы, Комсомольска-на-Амуре, Севастополя, Благовещенска и других, 77 из них удостоены одной из наград конкурса», – сказал Сергей Лёвкин.</w:t>
      </w:r>
    </w:p>
    <w:p>
      <w:pPr>
        <w:pStyle w:val="BodyText"/>
      </w:pPr>
      <w:r>
        <w:t xml:space="preserve">Работы оценивались по группам с учетом подготовки: «Бакалавр», «Магистр» и «Специалитет» по направлениям: «Архитектура», «Дизайн», «Ландшафт».</w:t>
      </w:r>
    </w:p>
    <w:p>
      <w:pPr>
        <w:pStyle w:val="BodyText"/>
      </w:pPr>
      <w:r>
        <w:t xml:space="preserve">Широкая гамма номинаций позволила каждому конкурсанту наиболее полно заявить о себе. Лучшие работы впервые были отмечены специальными дипломами президента Союза архитекторов России, президента Ассоциации ландшафтных архитекторов России (АЛАРОС), руководства Совета главных архитекторов субъектов РФ и муниципальных образований им. А.В. Кузьмина.</w:t>
      </w:r>
    </w:p>
    <w:p>
      <w:pPr>
        <w:pStyle w:val="BodyText"/>
      </w:pPr>
      <w:r>
        <w:t xml:space="preserve">Наивысшей награды – гран-при конкурса – удостоено пять работ участников, представляющих Санкт-Петербургскую государственную художественно-промышленную академию им. А. Л. Штиглица, Московский архитектурный институт (МАРХИ), Московский архитектурно-строительный институт (МИТУ-МАСИ), Ярославский государственный технический университет и Белгородский государственный технологический университет им. В.Г. Шухова.</w:t>
      </w:r>
    </w:p>
    <w:p>
      <w:pPr>
        <w:pStyle w:val="BodyText"/>
      </w:pPr>
      <w:r>
        <w:t xml:space="preserve">Лёвкин отметил, что на суд жюри конкурсанты представили проекты школ, детских садов, общественных зданий.</w:t>
      </w:r>
    </w:p>
    <w:p>
      <w:pPr>
        <w:pStyle w:val="BodyText"/>
      </w:pPr>
      <w:r>
        <w:t xml:space="preserve">«Участие в таких конкурсах дает возможность молодежи продемонстрировать собственный взгляд на проектирование городских пространств и способствует формированию активной жизненной позиции», – подчеркнул он.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http://msi.mos.ru/presscenter/news/detail/11945078.html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«Мосстройинформ»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si.mos.ru" TargetMode="External" /><Relationship Type="http://schemas.openxmlformats.org/officeDocument/2006/relationships/hyperlink" Id="rId20" Target="http://msi.mos.ru/presscenter/news/detail/119450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si.mos.ru" TargetMode="External" /><Relationship Type="http://schemas.openxmlformats.org/officeDocument/2006/relationships/hyperlink" Id="rId20" Target="http://msi.mos.ru/presscenter/news/detail/119450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2025-04-26T00:09:17Z</dcterms:created>
  <dcterms:modified xsi:type="dcterms:W3CDTF">2025-04-26T00:09:17Z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